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9" w:rsidRDefault="00330EC9">
      <w:pPr>
        <w:jc w:val="center"/>
        <w:rPr>
          <w:rFonts w:asciiTheme="majorEastAsia" w:eastAsiaTheme="majorEastAsia" w:hAnsiTheme="majorEastAsia" w:cstheme="majorEastAsia"/>
          <w:b/>
          <w:bCs/>
          <w:sz w:val="10"/>
          <w:szCs w:val="10"/>
        </w:rPr>
      </w:pPr>
    </w:p>
    <w:p w:rsidR="00330EC9" w:rsidRDefault="00F6440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通化市东昌区法院</w:t>
      </w:r>
    </w:p>
    <w:p w:rsidR="00330EC9" w:rsidRDefault="00F6440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度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扫黑除恶工作总结</w:t>
      </w:r>
    </w:p>
    <w:p w:rsidR="00330EC9" w:rsidRDefault="00330EC9">
      <w:pPr>
        <w:rPr>
          <w:rFonts w:ascii="仿宋" w:eastAsia="仿宋" w:hAnsi="仿宋" w:cs="仿宋"/>
          <w:sz w:val="32"/>
          <w:szCs w:val="32"/>
        </w:rPr>
      </w:pP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年初以来，东昌区法院按照上级院及区委政法委的要求部署，精心谋划，举全院之力扎实开展和推动扫黑除恶专项斗争工作。现将斗争进展情况汇报如下：</w:t>
      </w:r>
    </w:p>
    <w:p w:rsidR="00330EC9" w:rsidRDefault="00F64408">
      <w:pPr>
        <w:ind w:firstLineChars="200" w:firstLine="721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一、工作情况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截止到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月份，我院暂受理涉恶案件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已</w:t>
      </w:r>
      <w:r>
        <w:rPr>
          <w:rFonts w:ascii="仿宋" w:eastAsia="仿宋" w:hAnsi="仿宋" w:cs="仿宋" w:hint="eastAsia"/>
          <w:sz w:val="32"/>
          <w:szCs w:val="32"/>
        </w:rPr>
        <w:t>全部</w:t>
      </w:r>
      <w:r>
        <w:rPr>
          <w:rFonts w:ascii="仿宋" w:eastAsia="仿宋" w:hAnsi="仿宋" w:cs="仿宋" w:hint="eastAsia"/>
          <w:sz w:val="32"/>
          <w:szCs w:val="32"/>
        </w:rPr>
        <w:t>审结且认定为涉恶案件。</w:t>
      </w:r>
    </w:p>
    <w:p w:rsidR="00330EC9" w:rsidRDefault="00F64408">
      <w:pPr>
        <w:ind w:firstLineChars="200" w:firstLine="721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二、工作举措</w:t>
      </w:r>
    </w:p>
    <w:p w:rsidR="00330EC9" w:rsidRDefault="00F6440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、精心谋划部署，筑牢专项斗争组织保障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一是东昌区法院院党组对专项斗争高度重视，结合工作实际</w:t>
      </w:r>
      <w:r>
        <w:rPr>
          <w:rFonts w:ascii="仿宋" w:eastAsia="仿宋" w:hAnsi="仿宋" w:cs="仿宋" w:hint="eastAsia"/>
          <w:sz w:val="32"/>
          <w:szCs w:val="32"/>
        </w:rPr>
        <w:t>贯彻落实</w:t>
      </w:r>
      <w:r>
        <w:rPr>
          <w:rFonts w:ascii="仿宋" w:eastAsia="仿宋" w:hAnsi="仿宋" w:cs="仿宋" w:hint="eastAsia"/>
          <w:sz w:val="32"/>
          <w:szCs w:val="32"/>
        </w:rPr>
        <w:t>《东昌区院扫黑除恶专项斗争实施方案》，由党组书记、院长张丽娟亲自挂帅指挥，分管刑事副院长姚桂英同志具体负责，整合刑庭、立案、案管、宣传、法警等多部门力量，以院长亲自研究谋划实现“重要工作重点推动”，形成举全院之力推进“扫黑除恶”专项斗争的工作格局。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在扫黑办组织下，我院通过悬挂条幅、设立举报箱、开发微信小程序、利用诉前接待、脱贫攻坚、普法讲座等机会宣传扫黑除恶，共计送法进校园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次、送法下乡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次、为广大师生、群众宣讲扫黑除恶相关知识，积极营造了扫黑除恶浓厚氛围。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二是为确保打击效果，刑事审判庭进一步强化人员</w:t>
      </w:r>
      <w:r>
        <w:rPr>
          <w:rFonts w:ascii="仿宋" w:eastAsia="仿宋" w:hAnsi="仿宋" w:cs="仿宋" w:hint="eastAsia"/>
          <w:sz w:val="32"/>
          <w:szCs w:val="32"/>
        </w:rPr>
        <w:t>配置，集中优势力量，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院长、分管刑事副院长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刑事审判庭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名政治过硬、业务过硬的员额法官</w:t>
      </w:r>
      <w:r>
        <w:rPr>
          <w:rFonts w:ascii="仿宋" w:eastAsia="仿宋" w:hAnsi="仿宋" w:cs="仿宋" w:hint="eastAsia"/>
          <w:sz w:val="32"/>
          <w:szCs w:val="32"/>
        </w:rPr>
        <w:t>共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名同志成立“扫黑除恶”办案组，专办涉黑涉恶案件。专项办案组集中深入学习了扫黑除恶类犯罪相关法律法规、系列讲话精神、“两高两部”指导意见、收集近年来的司法判例进行深入剖析，就黑恶势力违法犯罪案件出现的新情况、新问题进行了深入研究、认真讨论，为下一步工作开展夯实基础。</w:t>
      </w:r>
    </w:p>
    <w:p w:rsidR="00330EC9" w:rsidRDefault="00F6440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、发挥审判职能，拓宽案件线索来源渠道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为破解专项斗争前期案件线索匮乏问题，我们重点整合内外部资源，拓宽涉黑涉恶案件线索来源渠道，决不放过每一条有价值的线索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0EC9" w:rsidRDefault="00F6440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一是着眼存量，实现内部挖潜。对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年的重点案件、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年办结的案件开展“回头看”，落实“一案三查”，认真排查梳理问题线索，</w:t>
      </w:r>
      <w:r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已排查案件</w:t>
      </w:r>
      <w:r>
        <w:rPr>
          <w:rFonts w:ascii="仿宋" w:eastAsia="仿宋" w:hAnsi="仿宋" w:cs="仿宋" w:hint="eastAsia"/>
          <w:sz w:val="32"/>
          <w:szCs w:val="32"/>
        </w:rPr>
        <w:t>8000</w:t>
      </w:r>
      <w:r>
        <w:rPr>
          <w:rFonts w:ascii="仿宋" w:eastAsia="仿宋" w:hAnsi="仿宋" w:cs="仿宋" w:hint="eastAsia"/>
          <w:sz w:val="32"/>
          <w:szCs w:val="32"/>
        </w:rPr>
        <w:t>余件</w:t>
      </w:r>
      <w:r>
        <w:rPr>
          <w:rFonts w:ascii="仿宋" w:eastAsia="仿宋" w:hAnsi="仿宋" w:cs="仿宋" w:hint="eastAsia"/>
          <w:sz w:val="32"/>
          <w:szCs w:val="32"/>
        </w:rPr>
        <w:t>，并计划于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年深入对重点案件进行追查。</w:t>
      </w:r>
      <w:r>
        <w:rPr>
          <w:rFonts w:ascii="仿宋" w:eastAsia="仿宋" w:hAnsi="仿宋" w:cs="仿宋" w:hint="eastAsia"/>
          <w:sz w:val="32"/>
          <w:szCs w:val="32"/>
        </w:rPr>
        <w:t>同时，针对公安移送审查起诉的普通刑事案件，提升敏感度，逐案审查、逐一研判，对新案犯罪嫌疑人存在团伙犯罪、前科劣迹等情形重点关注，进行人案关联比对，注重个案之间的内在联系，防止就案办案，一旦发现隐藏在案件中的涉黑涉恶犯罪线索，责成检察机关及时追捕、追诉，并做好了并案审理工作，积极履行审判职能。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二是放眼增量，争取外部支持。工作中，紧紧依靠区委督导组、区扫黑办发现案件线索及挂牌督导力量，提前介入了周某可能涉黑案件</w:t>
      </w:r>
      <w:r>
        <w:rPr>
          <w:rFonts w:ascii="仿宋" w:eastAsia="仿宋" w:hAnsi="仿宋" w:cs="仿宋" w:hint="eastAsia"/>
          <w:sz w:val="32"/>
          <w:szCs w:val="32"/>
        </w:rPr>
        <w:t>与张某可能涉恶案件</w:t>
      </w:r>
      <w:r>
        <w:rPr>
          <w:rFonts w:ascii="仿宋" w:eastAsia="仿宋" w:hAnsi="仿宋" w:cs="仿宋" w:hint="eastAsia"/>
          <w:sz w:val="32"/>
          <w:szCs w:val="32"/>
        </w:rPr>
        <w:t>，重点查处背后的“保护伞”。选派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名工作人员</w:t>
      </w:r>
      <w:r>
        <w:rPr>
          <w:rFonts w:ascii="仿宋" w:eastAsia="仿宋" w:hAnsi="仿宋" w:cs="仿宋" w:hint="eastAsia"/>
          <w:sz w:val="32"/>
          <w:szCs w:val="32"/>
        </w:rPr>
        <w:t>继续驻扎</w:t>
      </w:r>
      <w:r>
        <w:rPr>
          <w:rFonts w:ascii="仿宋" w:eastAsia="仿宋" w:hAnsi="仿宋" w:cs="仿宋" w:hint="eastAsia"/>
          <w:sz w:val="32"/>
          <w:szCs w:val="32"/>
        </w:rPr>
        <w:t>区委政法委工作组，深入辖区农村摸查线索。同时，注重发挥信访举报、下沉网格开展法制宣讲、加大新媒体宣传作用，不断提高群众举报线索来源。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30EC9" w:rsidRDefault="00F6440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、加强沟通配合，确保从快从严办案质效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工作中，我们切实把好事实关、证据关、程序关、法律适用关，确保案件从严从快办理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质量不打折扣。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在横向沟通上，我们扎实做好提前介入、联席会议、侦捕诉</w:t>
      </w:r>
      <w:r>
        <w:rPr>
          <w:rFonts w:ascii="仿宋" w:eastAsia="仿宋" w:hAnsi="仿宋" w:cs="仿宋" w:hint="eastAsia"/>
          <w:sz w:val="32"/>
          <w:szCs w:val="32"/>
        </w:rPr>
        <w:t>审联动机制。</w:t>
      </w:r>
      <w:r>
        <w:rPr>
          <w:rFonts w:ascii="华文楷体" w:eastAsia="华文楷体" w:hAnsi="华文楷体" w:cs="华文楷体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对涉黑涉恶类案件依法提前介入，针对涉黑涉恶犯罪时间长、人员多、流动性大等审理难点，确定个罪证据标准、厘清组织框架，对侦查不当行为要求及时补证，补救证据瑕疵，实时、全程、全面实现精准引导侦查取证，及时帮助收集固定证据，为从严从快办理奠定基础。</w:t>
      </w:r>
      <w:r>
        <w:rPr>
          <w:rFonts w:ascii="华文楷体" w:eastAsia="华文楷体" w:hAnsi="华文楷体" w:cs="华文楷体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与公安机关、检察院定期召开联席会议，统一明确证据标准。同时，就</w:t>
      </w:r>
      <w:r>
        <w:rPr>
          <w:rFonts w:ascii="仿宋" w:eastAsia="仿宋" w:hAnsi="仿宋" w:cs="仿宋" w:hint="eastAsia"/>
          <w:sz w:val="32"/>
          <w:szCs w:val="32"/>
        </w:rPr>
        <w:t>侦察</w:t>
      </w:r>
      <w:r>
        <w:rPr>
          <w:rFonts w:ascii="仿宋" w:eastAsia="仿宋" w:hAnsi="仿宋" w:cs="仿宋" w:hint="eastAsia"/>
          <w:sz w:val="32"/>
          <w:szCs w:val="32"/>
        </w:rPr>
        <w:t>机关在办理涉黑涉恶案件中只注重犯罪事实而忽略对组织特征、经济特征、危害后果等方面审查的问题，有针对性地、集中提出取证意见。</w:t>
      </w:r>
      <w:r>
        <w:rPr>
          <w:rFonts w:ascii="华文楷体" w:eastAsia="华文楷体" w:hAnsi="华文楷体" w:cs="华文楷体" w:hint="eastAsia"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完善侦捕诉审联动机制，以完善侦、捕、诉、审联动机制为工作主线</w:t>
      </w:r>
      <w:r>
        <w:rPr>
          <w:rFonts w:ascii="仿宋" w:eastAsia="仿宋" w:hAnsi="仿宋" w:cs="仿宋" w:hint="eastAsia"/>
          <w:sz w:val="32"/>
          <w:szCs w:val="32"/>
        </w:rPr>
        <w:t>，加强与区委政法委、公安机关、检察机关的沟通协调，实现涉黑涉恶案件优先受理、快速处置，通过全面打通诉讼通道确保案件从严从快办理。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在纵向联络上，我们勤沟通、多汇报。</w:t>
      </w:r>
      <w:r>
        <w:rPr>
          <w:rFonts w:ascii="华文楷体" w:eastAsia="华文楷体" w:hAnsi="华文楷体" w:cs="华文楷体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积极取得</w:t>
      </w:r>
      <w:r>
        <w:rPr>
          <w:rFonts w:ascii="仿宋" w:eastAsia="仿宋" w:hAnsi="仿宋" w:cs="仿宋" w:hint="eastAsia"/>
          <w:sz w:val="32"/>
          <w:szCs w:val="32"/>
        </w:rPr>
        <w:t>通化中</w:t>
      </w:r>
      <w:r>
        <w:rPr>
          <w:rFonts w:ascii="仿宋" w:eastAsia="仿宋" w:hAnsi="仿宋" w:cs="仿宋" w:hint="eastAsia"/>
          <w:sz w:val="32"/>
          <w:szCs w:val="32"/>
        </w:rPr>
        <w:t>院支持。及时向上级院、区委政法委、院领导小组汇报工作进展，为领导决策提供有益参考。</w:t>
      </w:r>
      <w:r>
        <w:rPr>
          <w:rFonts w:ascii="华文楷体" w:eastAsia="华文楷体" w:hAnsi="华文楷体" w:cs="华文楷体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建立信息联络员制度，指定扫黑除恶专项工作信息联络员加强与东昌区政法委日常联络，通报信息，以便于及时了解案件受理、侦查、移送起诉等情况，实现信息共享。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330EC9" w:rsidRDefault="00F6440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、把握法律界线，确保案件质量</w:t>
      </w:r>
    </w:p>
    <w:p w:rsidR="00330EC9" w:rsidRDefault="00F6440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树立法治思维对于黑恶势力犯罪，依法严厉打击，确</w:t>
      </w:r>
      <w:r>
        <w:rPr>
          <w:rFonts w:ascii="仿宋" w:eastAsia="仿宋" w:hAnsi="仿宋" w:cs="仿宋" w:hint="eastAsia"/>
          <w:sz w:val="32"/>
          <w:szCs w:val="32"/>
        </w:rPr>
        <w:t>保快审、快结，严格贯彻宽严相济刑事政策，对黑社会性质组织罪犯罪的组织者、领导者、骨干成员及其“保护伞”依法从严打击，对初犯、偶犯及未成年人依法从轻、减轻处罚。</w:t>
      </w:r>
      <w:r>
        <w:rPr>
          <w:rFonts w:ascii="华文楷体" w:eastAsia="华文楷体" w:hAnsi="华文楷体" w:cs="华文楷体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办理黑恶势力犯罪案件，始终坚持“依法”二字，强化证据意识，把好案件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“四大关口”，不逾越红线，即不降格处理，也不人为拨高。</w:t>
      </w:r>
      <w:r>
        <w:rPr>
          <w:rFonts w:ascii="仿宋" w:eastAsia="仿宋" w:hAnsi="仿宋" w:cs="仿宋" w:hint="eastAsia"/>
          <w:sz w:val="32"/>
          <w:szCs w:val="32"/>
        </w:rPr>
        <w:t>严格掌握证据标准，确保案件质量，确保涉黑涉恶案件经得起历史检验。</w:t>
      </w:r>
    </w:p>
    <w:p w:rsidR="00330EC9" w:rsidRDefault="00F64408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强化制度机制，形成长效机制</w:t>
      </w:r>
    </w:p>
    <w:p w:rsidR="00330EC9" w:rsidRDefault="00F6440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立扫黑除恶领导小组办公室，购置保密档案柜与文件柜，建立规范涉黑涉恶档案管理制度。同时注意收集和保存资料，做到及时留痕，保证扫黑除恶持续长久健康开展，为完成三年工作任务和归纳总结做好材料积累。</w:t>
      </w:r>
      <w:bookmarkStart w:id="0" w:name="_GoBack"/>
      <w:bookmarkEnd w:id="0"/>
    </w:p>
    <w:p w:rsidR="00330EC9" w:rsidRDefault="00F64408">
      <w:pPr>
        <w:ind w:firstLineChars="1300" w:firstLine="4160"/>
      </w:pPr>
      <w:r>
        <w:rPr>
          <w:rFonts w:ascii="仿宋" w:eastAsia="仿宋" w:hAnsi="仿宋" w:cs="仿宋" w:hint="eastAsia"/>
          <w:sz w:val="32"/>
          <w:szCs w:val="32"/>
        </w:rPr>
        <w:t>二〇一九年十一月二十日</w:t>
      </w:r>
    </w:p>
    <w:sectPr w:rsidR="00330EC9" w:rsidSect="00330EC9">
      <w:footerReference w:type="default" r:id="rId8"/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08" w:rsidRDefault="00F64408" w:rsidP="00330EC9">
      <w:r>
        <w:separator/>
      </w:r>
    </w:p>
  </w:endnote>
  <w:endnote w:type="continuationSeparator" w:id="1">
    <w:p w:rsidR="00F64408" w:rsidRDefault="00F64408" w:rsidP="0033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C9" w:rsidRDefault="00330E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30EC9" w:rsidRDefault="00330E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644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6E5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08" w:rsidRDefault="00F64408" w:rsidP="00330EC9">
      <w:r>
        <w:separator/>
      </w:r>
    </w:p>
  </w:footnote>
  <w:footnote w:type="continuationSeparator" w:id="1">
    <w:p w:rsidR="00F64408" w:rsidRDefault="00F64408" w:rsidP="0033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FB61"/>
    <w:multiLevelType w:val="singleLevel"/>
    <w:tmpl w:val="157AFB61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E56965"/>
    <w:rsid w:val="00330EC9"/>
    <w:rsid w:val="00506E58"/>
    <w:rsid w:val="00F64408"/>
    <w:rsid w:val="24CD734E"/>
    <w:rsid w:val="76E5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E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3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0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6E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1733</Characters>
  <Application>Microsoft Office Word</Application>
  <DocSecurity>0</DocSecurity>
  <Lines>14</Lines>
  <Paragraphs>4</Paragraphs>
  <ScaleCrop>false</ScaleCrop>
  <Company>微软公司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2019-11-20T02:05:00Z</cp:lastPrinted>
  <dcterms:created xsi:type="dcterms:W3CDTF">2019-11-20T01:38:00Z</dcterms:created>
  <dcterms:modified xsi:type="dcterms:W3CDTF">2019-11-20T07:11:00Z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